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0E7" w:rsidRPr="007633A2" w:rsidRDefault="00A670E7" w:rsidP="00A670E7">
      <w:pPr>
        <w:widowControl/>
        <w:spacing w:line="600" w:lineRule="exact"/>
        <w:jc w:val="left"/>
        <w:rPr>
          <w:rFonts w:ascii="黑体" w:eastAsia="黑体" w:hAnsi="黑体" w:cs="宋体"/>
          <w:kern w:val="0"/>
          <w:sz w:val="32"/>
          <w:szCs w:val="32"/>
        </w:rPr>
      </w:pPr>
      <w:r w:rsidRPr="007633A2">
        <w:rPr>
          <w:rFonts w:ascii="黑体" w:eastAsia="黑体" w:hAnsi="黑体" w:cs="宋体" w:hint="eastAsia"/>
          <w:kern w:val="0"/>
          <w:sz w:val="32"/>
          <w:szCs w:val="32"/>
        </w:rPr>
        <w:t>附件</w:t>
      </w:r>
      <w:r>
        <w:rPr>
          <w:rFonts w:ascii="黑体" w:eastAsia="黑体" w:hAnsi="黑体" w:cs="宋体" w:hint="eastAsia"/>
          <w:kern w:val="0"/>
          <w:sz w:val="32"/>
          <w:szCs w:val="32"/>
        </w:rPr>
        <w:t>2</w:t>
      </w:r>
      <w:r w:rsidRPr="007633A2">
        <w:rPr>
          <w:rFonts w:ascii="黑体" w:eastAsia="黑体" w:hAnsi="黑体" w:cs="宋体" w:hint="eastAsia"/>
          <w:kern w:val="0"/>
          <w:sz w:val="32"/>
          <w:szCs w:val="32"/>
        </w:rPr>
        <w:t>:</w:t>
      </w:r>
    </w:p>
    <w:p w:rsidR="00A670E7" w:rsidRPr="00404CD3" w:rsidRDefault="00A670E7" w:rsidP="00A670E7">
      <w:pPr>
        <w:widowControl/>
        <w:spacing w:line="600" w:lineRule="exact"/>
        <w:jc w:val="center"/>
        <w:rPr>
          <w:rFonts w:cs="宋体"/>
          <w:b/>
          <w:kern w:val="0"/>
          <w:sz w:val="44"/>
          <w:szCs w:val="44"/>
        </w:rPr>
      </w:pPr>
      <w:r w:rsidRPr="00396916">
        <w:rPr>
          <w:rFonts w:cs="宋体" w:hint="eastAsia"/>
          <w:b/>
          <w:kern w:val="0"/>
          <w:sz w:val="44"/>
          <w:szCs w:val="44"/>
        </w:rPr>
        <w:t>国家安全监管总局办公厅关于</w:t>
      </w:r>
    </w:p>
    <w:p w:rsidR="00A670E7" w:rsidRDefault="00A670E7" w:rsidP="00A670E7">
      <w:pPr>
        <w:widowControl/>
        <w:spacing w:line="600" w:lineRule="exact"/>
        <w:jc w:val="center"/>
        <w:rPr>
          <w:rFonts w:cs="宋体"/>
          <w:b/>
          <w:kern w:val="0"/>
          <w:sz w:val="44"/>
          <w:szCs w:val="44"/>
        </w:rPr>
      </w:pPr>
      <w:r w:rsidRPr="00396916">
        <w:rPr>
          <w:rFonts w:cs="宋体" w:hint="eastAsia"/>
          <w:b/>
          <w:kern w:val="0"/>
          <w:sz w:val="44"/>
          <w:szCs w:val="44"/>
        </w:rPr>
        <w:t>加强烟花爆竹生产企业防范静电危害工作的</w:t>
      </w:r>
    </w:p>
    <w:p w:rsidR="00A670E7" w:rsidRPr="00396916" w:rsidRDefault="00A670E7" w:rsidP="00A670E7">
      <w:pPr>
        <w:widowControl/>
        <w:spacing w:line="600" w:lineRule="exact"/>
        <w:jc w:val="center"/>
        <w:rPr>
          <w:rFonts w:ascii="宋体" w:hAnsi="宋体" w:cs="宋体"/>
          <w:b/>
          <w:kern w:val="0"/>
          <w:sz w:val="44"/>
          <w:szCs w:val="44"/>
        </w:rPr>
      </w:pPr>
      <w:r w:rsidRPr="00396916">
        <w:rPr>
          <w:rFonts w:cs="宋体" w:hint="eastAsia"/>
          <w:b/>
          <w:kern w:val="0"/>
          <w:sz w:val="44"/>
          <w:szCs w:val="44"/>
        </w:rPr>
        <w:t>通</w:t>
      </w:r>
      <w:r>
        <w:rPr>
          <w:rFonts w:cs="宋体" w:hint="eastAsia"/>
          <w:b/>
          <w:kern w:val="0"/>
          <w:sz w:val="44"/>
          <w:szCs w:val="44"/>
        </w:rPr>
        <w:t xml:space="preserve">  </w:t>
      </w:r>
      <w:r w:rsidRPr="00396916">
        <w:rPr>
          <w:rFonts w:cs="宋体" w:hint="eastAsia"/>
          <w:b/>
          <w:kern w:val="0"/>
          <w:sz w:val="44"/>
          <w:szCs w:val="44"/>
        </w:rPr>
        <w:t>知</w:t>
      </w:r>
    </w:p>
    <w:p w:rsidR="00A670E7" w:rsidRPr="00396916" w:rsidRDefault="00A670E7" w:rsidP="00841645">
      <w:pPr>
        <w:widowControl/>
        <w:spacing w:beforeLines="50" w:afterLines="50" w:line="600" w:lineRule="exact"/>
        <w:jc w:val="center"/>
        <w:rPr>
          <w:rFonts w:ascii="楷体_GB2312" w:eastAsia="楷体_GB2312" w:hAnsi="宋体" w:cs="宋体"/>
          <w:kern w:val="0"/>
          <w:sz w:val="32"/>
          <w:szCs w:val="32"/>
        </w:rPr>
      </w:pPr>
      <w:r w:rsidRPr="00396916">
        <w:rPr>
          <w:rFonts w:ascii="楷体_GB2312" w:eastAsia="楷体_GB2312" w:hAnsi="宋体" w:cs="宋体" w:hint="eastAsia"/>
          <w:kern w:val="0"/>
          <w:sz w:val="32"/>
          <w:szCs w:val="32"/>
        </w:rPr>
        <w:t>安监总厅管三〔2015〕20号</w:t>
      </w:r>
    </w:p>
    <w:p w:rsidR="00A670E7" w:rsidRPr="00396916" w:rsidRDefault="00A670E7" w:rsidP="00A670E7">
      <w:pPr>
        <w:widowControl/>
        <w:spacing w:line="600" w:lineRule="exact"/>
        <w:jc w:val="left"/>
        <w:rPr>
          <w:rFonts w:ascii="仿宋_GB2312" w:eastAsia="仿宋_GB2312" w:hAnsi="宋体" w:cs="宋体"/>
          <w:kern w:val="0"/>
          <w:sz w:val="32"/>
          <w:szCs w:val="32"/>
        </w:rPr>
      </w:pPr>
      <w:r w:rsidRPr="00396916">
        <w:rPr>
          <w:rFonts w:ascii="仿宋_GB2312" w:eastAsia="仿宋_GB2312" w:cs="宋体" w:hint="eastAsia"/>
          <w:kern w:val="0"/>
          <w:sz w:val="32"/>
          <w:szCs w:val="32"/>
        </w:rPr>
        <w:t>河北、浙江、江西、山东、河南、湖北、湖南、广西、海南、重庆、四川、贵州、云南、陕西、甘肃省（区、市）安全生产监督管理局：</w:t>
      </w:r>
    </w:p>
    <w:p w:rsidR="00A670E7" w:rsidRPr="00396916" w:rsidRDefault="00A670E7" w:rsidP="00A670E7">
      <w:pPr>
        <w:widowControl/>
        <w:spacing w:line="600" w:lineRule="exact"/>
        <w:ind w:firstLineChars="200" w:firstLine="640"/>
        <w:jc w:val="left"/>
        <w:rPr>
          <w:rFonts w:ascii="仿宋_GB2312" w:eastAsia="仿宋_GB2312" w:hAnsi="宋体" w:cs="宋体"/>
          <w:kern w:val="0"/>
          <w:sz w:val="32"/>
          <w:szCs w:val="32"/>
        </w:rPr>
      </w:pPr>
      <w:r w:rsidRPr="00396916">
        <w:rPr>
          <w:rFonts w:ascii="仿宋_GB2312" w:eastAsia="仿宋_GB2312" w:hint="eastAsia"/>
          <w:kern w:val="0"/>
          <w:sz w:val="32"/>
          <w:szCs w:val="32"/>
        </w:rPr>
        <w:t>2014</w:t>
      </w:r>
      <w:r w:rsidRPr="00396916">
        <w:rPr>
          <w:rFonts w:ascii="仿宋_GB2312" w:eastAsia="仿宋_GB2312" w:cs="宋体" w:hint="eastAsia"/>
          <w:kern w:val="0"/>
          <w:sz w:val="32"/>
          <w:szCs w:val="32"/>
        </w:rPr>
        <w:t>年第四季度，国家安全监管总局委托国家安全生产宜春、醴陵</w:t>
      </w:r>
      <w:r w:rsidRPr="00396916">
        <w:rPr>
          <w:rFonts w:ascii="仿宋_GB2312" w:eastAsia="仿宋_GB2312" w:hint="eastAsia"/>
          <w:kern w:val="0"/>
          <w:sz w:val="32"/>
          <w:szCs w:val="32"/>
        </w:rPr>
        <w:t>2</w:t>
      </w:r>
      <w:r w:rsidRPr="00396916">
        <w:rPr>
          <w:rFonts w:ascii="仿宋_GB2312" w:eastAsia="仿宋_GB2312" w:cs="宋体" w:hint="eastAsia"/>
          <w:kern w:val="0"/>
          <w:sz w:val="32"/>
          <w:szCs w:val="32"/>
        </w:rPr>
        <w:t>家烟花爆竹检测检验中心对部分省（区）烟花爆竹生产企业的导静电设施进行了安全抽检。抽检结果表明，烟花爆竹生产企业对静电危害的认识不够，防范意识普遍淡薄，防范措施流于形式，涉药机械设备直接静电接地不良、涉药工作台防静电材料和间接静电接地不合格、涉药工器具不符合强制性标准规定、危险场所入口人体静电释放装置埋地深度不够、危险场所作业人员未穿着防静电服装等隐患问题突出。为推动烟花爆竹生产企业完善导静电设施和防静电措施，及时消除隐患，加强企业防范静电危害工作，现就有关要求通知如下：</w:t>
      </w:r>
    </w:p>
    <w:p w:rsidR="00A670E7" w:rsidRPr="00396916" w:rsidRDefault="00A670E7" w:rsidP="00A670E7">
      <w:pPr>
        <w:widowControl/>
        <w:spacing w:line="600" w:lineRule="exact"/>
        <w:ind w:firstLineChars="200" w:firstLine="640"/>
        <w:jc w:val="left"/>
        <w:rPr>
          <w:rFonts w:ascii="仿宋_GB2312" w:eastAsia="仿宋_GB2312" w:hAnsi="宋体" w:cs="宋体"/>
          <w:kern w:val="0"/>
          <w:sz w:val="32"/>
          <w:szCs w:val="32"/>
        </w:rPr>
      </w:pPr>
      <w:r w:rsidRPr="00396916">
        <w:rPr>
          <w:rFonts w:ascii="黑体" w:eastAsia="黑体" w:hAnsi="黑体" w:cs="宋体" w:hint="eastAsia"/>
          <w:kern w:val="0"/>
          <w:sz w:val="32"/>
          <w:szCs w:val="32"/>
        </w:rPr>
        <w:t>一、充分认识烟花爆竹生产企业静电危害的严重性和防范工作的重要性</w:t>
      </w:r>
      <w:r>
        <w:rPr>
          <w:rFonts w:ascii="黑体" w:eastAsia="黑体" w:hAnsi="黑体" w:cs="宋体" w:hint="eastAsia"/>
          <w:kern w:val="0"/>
          <w:sz w:val="32"/>
          <w:szCs w:val="32"/>
        </w:rPr>
        <w:t>。</w:t>
      </w:r>
      <w:r w:rsidRPr="00396916">
        <w:rPr>
          <w:rFonts w:ascii="仿宋_GB2312" w:eastAsia="仿宋_GB2312" w:cs="宋体" w:hint="eastAsia"/>
          <w:kern w:val="0"/>
          <w:sz w:val="32"/>
          <w:szCs w:val="32"/>
        </w:rPr>
        <w:t>要组织各级安全监管部门烟花爆竹安全监管人员、烟花爆竹生产企业负责人及从业人员以及烟花爆竹工程设计、安全评价机构等相关人员，认真学习《烟花爆竹工程设计安全规范》（</w:t>
      </w:r>
      <w:r w:rsidRPr="00396916">
        <w:rPr>
          <w:rFonts w:ascii="仿宋_GB2312" w:eastAsia="仿宋_GB2312" w:hint="eastAsia"/>
          <w:kern w:val="0"/>
          <w:sz w:val="32"/>
          <w:szCs w:val="32"/>
        </w:rPr>
        <w:t>GB50161</w:t>
      </w:r>
      <w:r w:rsidRPr="00396916">
        <w:rPr>
          <w:rFonts w:ascii="仿宋_GB2312" w:eastAsia="仿宋_GB2312" w:cs="宋体" w:hint="eastAsia"/>
          <w:kern w:val="0"/>
          <w:sz w:val="32"/>
          <w:szCs w:val="32"/>
        </w:rPr>
        <w:t>）和《烟花爆竹防止静电通用导则》（</w:t>
      </w:r>
      <w:r w:rsidRPr="00396916">
        <w:rPr>
          <w:rFonts w:ascii="仿宋_GB2312" w:eastAsia="仿宋_GB2312" w:hint="eastAsia"/>
          <w:kern w:val="0"/>
          <w:sz w:val="32"/>
          <w:szCs w:val="32"/>
        </w:rPr>
        <w:t>AQ4115</w:t>
      </w:r>
      <w:r w:rsidRPr="00396916">
        <w:rPr>
          <w:rFonts w:ascii="仿宋_GB2312" w:eastAsia="仿宋_GB2312" w:cs="宋体" w:hint="eastAsia"/>
          <w:kern w:val="0"/>
          <w:sz w:val="32"/>
          <w:szCs w:val="32"/>
        </w:rPr>
        <w:t>）等技</w:t>
      </w:r>
      <w:r w:rsidRPr="00396916">
        <w:rPr>
          <w:rFonts w:ascii="仿宋_GB2312" w:eastAsia="仿宋_GB2312" w:cs="宋体" w:hint="eastAsia"/>
          <w:kern w:val="0"/>
          <w:sz w:val="32"/>
          <w:szCs w:val="32"/>
        </w:rPr>
        <w:lastRenderedPageBreak/>
        <w:t>术标准，准确掌握防范静电危害的基本方法、技术手段和管理措施，加强烟花爆竹生产企业导静电设施建设和安全管理，将防范静电危害工作纳入到整顿改造提升和日常安全管理中，切实提升企业安全生产保障水平。</w:t>
      </w:r>
    </w:p>
    <w:p w:rsidR="00A670E7" w:rsidRPr="00396916" w:rsidRDefault="00A670E7" w:rsidP="00A670E7">
      <w:pPr>
        <w:widowControl/>
        <w:spacing w:line="600" w:lineRule="exact"/>
        <w:ind w:firstLineChars="200" w:firstLine="640"/>
        <w:jc w:val="left"/>
        <w:rPr>
          <w:rFonts w:ascii="仿宋_GB2312" w:eastAsia="仿宋_GB2312" w:hAnsi="宋体" w:cs="宋体"/>
          <w:kern w:val="0"/>
          <w:sz w:val="32"/>
          <w:szCs w:val="32"/>
        </w:rPr>
      </w:pPr>
      <w:r w:rsidRPr="00396916">
        <w:rPr>
          <w:rFonts w:ascii="黑体" w:eastAsia="黑体" w:hAnsi="黑体" w:cs="宋体" w:hint="eastAsia"/>
          <w:kern w:val="0"/>
          <w:sz w:val="32"/>
          <w:szCs w:val="32"/>
        </w:rPr>
        <w:t>二、全面开展导静电设施建设，完善防静电措施</w:t>
      </w:r>
      <w:r>
        <w:rPr>
          <w:rFonts w:ascii="黑体" w:eastAsia="黑体" w:hAnsi="黑体" w:cs="宋体" w:hint="eastAsia"/>
          <w:kern w:val="0"/>
          <w:sz w:val="32"/>
          <w:szCs w:val="32"/>
        </w:rPr>
        <w:t>。</w:t>
      </w:r>
      <w:r w:rsidRPr="00396916">
        <w:rPr>
          <w:rFonts w:ascii="仿宋_GB2312" w:eastAsia="仿宋_GB2312" w:cs="宋体" w:hint="eastAsia"/>
          <w:kern w:val="0"/>
          <w:sz w:val="32"/>
          <w:szCs w:val="32"/>
        </w:rPr>
        <w:t>各地区要结合烟花爆竹生产企业整改提升工作，组织企业开展涉药机械设备直接静电接地、涉药工作台防静电材料铺设和间接静电接地、涉药工器具、危险场所入口人体静电释放（指示）装置、危险场所作业人员穿着防静电服装等方面的排查和安全检测工作。导静电设施和防静电措施不符合相关标准规定的企业，要在</w:t>
      </w:r>
      <w:r w:rsidRPr="00396916">
        <w:rPr>
          <w:rFonts w:ascii="仿宋_GB2312" w:eastAsia="仿宋_GB2312" w:hint="eastAsia"/>
          <w:kern w:val="0"/>
          <w:sz w:val="32"/>
          <w:szCs w:val="32"/>
        </w:rPr>
        <w:t>2015</w:t>
      </w:r>
      <w:r w:rsidRPr="00396916">
        <w:rPr>
          <w:rFonts w:ascii="仿宋_GB2312" w:eastAsia="仿宋_GB2312" w:cs="宋体" w:hint="eastAsia"/>
          <w:kern w:val="0"/>
          <w:sz w:val="32"/>
          <w:szCs w:val="32"/>
        </w:rPr>
        <w:t>年</w:t>
      </w:r>
      <w:r w:rsidRPr="00396916">
        <w:rPr>
          <w:rFonts w:ascii="仿宋_GB2312" w:eastAsia="仿宋_GB2312" w:hint="eastAsia"/>
          <w:kern w:val="0"/>
          <w:sz w:val="32"/>
          <w:szCs w:val="32"/>
        </w:rPr>
        <w:t>8</w:t>
      </w:r>
      <w:r w:rsidRPr="00396916">
        <w:rPr>
          <w:rFonts w:ascii="仿宋_GB2312" w:eastAsia="仿宋_GB2312" w:cs="宋体" w:hint="eastAsia"/>
          <w:kern w:val="0"/>
          <w:sz w:val="32"/>
          <w:szCs w:val="32"/>
        </w:rPr>
        <w:t>月底前完成整改。今后，烟花爆竹生产企业要建立导静电设施定期检查、检测、维护制度，确保其完备有效；烟花爆竹工程设计单位、安全评价机构要将企业导静电设施、防静电措施作为设计、评价的重点内容，加强源头把关；安全监管部门要认真审查企业导静电设施安全状况，对重点部位导静电设施不合格、防静电措施不完备的企业，不予换发安全生产许可证。</w:t>
      </w:r>
    </w:p>
    <w:p w:rsidR="00A670E7" w:rsidRPr="00396916" w:rsidRDefault="00A670E7" w:rsidP="00A670E7">
      <w:pPr>
        <w:widowControl/>
        <w:spacing w:line="600" w:lineRule="exact"/>
        <w:ind w:firstLineChars="200" w:firstLine="640"/>
        <w:jc w:val="left"/>
        <w:rPr>
          <w:rFonts w:ascii="仿宋_GB2312" w:eastAsia="仿宋_GB2312" w:hAnsi="宋体" w:cs="宋体"/>
          <w:kern w:val="0"/>
          <w:sz w:val="32"/>
          <w:szCs w:val="32"/>
        </w:rPr>
      </w:pPr>
      <w:r w:rsidRPr="00396916">
        <w:rPr>
          <w:rFonts w:ascii="黑体" w:eastAsia="黑体" w:hAnsi="黑体" w:cs="宋体" w:hint="eastAsia"/>
          <w:kern w:val="0"/>
          <w:sz w:val="32"/>
          <w:szCs w:val="32"/>
        </w:rPr>
        <w:t>三、加强烟花爆竹生产企业导静电设施的安全抽检和监督执法</w:t>
      </w:r>
      <w:r>
        <w:rPr>
          <w:rFonts w:ascii="黑体" w:eastAsia="黑体" w:hAnsi="黑体" w:cs="宋体" w:hint="eastAsia"/>
          <w:kern w:val="0"/>
          <w:sz w:val="32"/>
          <w:szCs w:val="32"/>
        </w:rPr>
        <w:t>。</w:t>
      </w:r>
      <w:r w:rsidRPr="00396916">
        <w:rPr>
          <w:rFonts w:ascii="仿宋_GB2312" w:eastAsia="仿宋_GB2312" w:hint="eastAsia"/>
          <w:kern w:val="0"/>
          <w:sz w:val="32"/>
          <w:szCs w:val="32"/>
        </w:rPr>
        <w:t>2015</w:t>
      </w:r>
      <w:r w:rsidRPr="00396916">
        <w:rPr>
          <w:rFonts w:ascii="仿宋_GB2312" w:eastAsia="仿宋_GB2312" w:cs="宋体" w:hint="eastAsia"/>
          <w:kern w:val="0"/>
          <w:sz w:val="32"/>
          <w:szCs w:val="32"/>
        </w:rPr>
        <w:t>年起，各级安全监管部门都要建立烟花爆竹生产企业导静电设施安全抽检和监督执法长效机制，设立专项经费，委托具有相应资质的机构定期对辖区内烟花爆竹生产企业导静电设施进行安全抽检，并加强烟花爆竹生产企业防范静电危害工作的日常检查。国家安全监管总局将适时组织导静电设施安全抽检。今后，凡各类抽检和监督检查发现烟花爆竹生产企业导静电设施、涉药工器具、防静电服装配备不合格等隐患问题的，要依法责令</w:t>
      </w:r>
      <w:r w:rsidRPr="00396916">
        <w:rPr>
          <w:rFonts w:ascii="仿宋_GB2312" w:eastAsia="仿宋_GB2312" w:cs="宋体" w:hint="eastAsia"/>
          <w:kern w:val="0"/>
          <w:sz w:val="32"/>
          <w:szCs w:val="32"/>
        </w:rPr>
        <w:lastRenderedPageBreak/>
        <w:t>停产并限期整改；对隐患问题严重的，依法暂扣安全生产许可证并给予经济处罚；对整改逾期仍不合格，依法吊销安全生产许可证并提请当地政府予以关闭。</w:t>
      </w:r>
    </w:p>
    <w:p w:rsidR="00A670E7" w:rsidRDefault="00A670E7" w:rsidP="00A670E7">
      <w:pPr>
        <w:widowControl/>
        <w:spacing w:line="600" w:lineRule="exact"/>
        <w:ind w:firstLineChars="200" w:firstLine="640"/>
        <w:jc w:val="left"/>
        <w:rPr>
          <w:rFonts w:ascii="仿宋_GB2312" w:eastAsia="仿宋_GB2312" w:cs="宋体"/>
          <w:kern w:val="0"/>
          <w:sz w:val="32"/>
          <w:szCs w:val="32"/>
        </w:rPr>
      </w:pPr>
      <w:r w:rsidRPr="00396916">
        <w:rPr>
          <w:rFonts w:ascii="仿宋_GB2312" w:eastAsia="仿宋_GB2312" w:cs="宋体" w:hint="eastAsia"/>
          <w:kern w:val="0"/>
          <w:sz w:val="32"/>
          <w:szCs w:val="32"/>
        </w:rPr>
        <w:t>请将本通知精神传达至辖区内有关各级安全监管部门、各烟花爆竹生产企业以及工程设计单位、安全评价机构。</w:t>
      </w:r>
    </w:p>
    <w:p w:rsidR="00A670E7" w:rsidRDefault="00A670E7" w:rsidP="00A670E7">
      <w:pPr>
        <w:widowControl/>
        <w:spacing w:line="600" w:lineRule="exact"/>
        <w:ind w:firstLineChars="200" w:firstLine="640"/>
        <w:jc w:val="left"/>
        <w:rPr>
          <w:rFonts w:ascii="仿宋_GB2312" w:eastAsia="仿宋_GB2312" w:cs="宋体"/>
          <w:kern w:val="0"/>
          <w:sz w:val="32"/>
          <w:szCs w:val="32"/>
        </w:rPr>
      </w:pPr>
    </w:p>
    <w:p w:rsidR="00A670E7" w:rsidRDefault="00A670E7" w:rsidP="00A670E7">
      <w:pPr>
        <w:widowControl/>
        <w:spacing w:line="600" w:lineRule="exact"/>
        <w:ind w:firstLineChars="200" w:firstLine="640"/>
        <w:jc w:val="left"/>
        <w:rPr>
          <w:rFonts w:ascii="仿宋_GB2312" w:eastAsia="仿宋_GB2312" w:cs="宋体"/>
          <w:kern w:val="0"/>
          <w:sz w:val="32"/>
          <w:szCs w:val="32"/>
        </w:rPr>
      </w:pPr>
    </w:p>
    <w:p w:rsidR="00A670E7" w:rsidRPr="00396916" w:rsidRDefault="00A670E7" w:rsidP="00A670E7">
      <w:pPr>
        <w:widowControl/>
        <w:spacing w:line="600" w:lineRule="exact"/>
        <w:ind w:firstLineChars="200" w:firstLine="640"/>
        <w:jc w:val="left"/>
        <w:rPr>
          <w:rFonts w:ascii="仿宋_GB2312" w:eastAsia="仿宋_GB2312" w:hAnsi="宋体" w:cs="宋体"/>
          <w:kern w:val="0"/>
          <w:sz w:val="32"/>
          <w:szCs w:val="32"/>
        </w:rPr>
      </w:pPr>
    </w:p>
    <w:p w:rsidR="00A670E7" w:rsidRPr="00396916" w:rsidRDefault="00A670E7" w:rsidP="00A670E7">
      <w:pPr>
        <w:widowControl/>
        <w:spacing w:line="600" w:lineRule="exact"/>
        <w:ind w:firstLineChars="200" w:firstLine="640"/>
        <w:jc w:val="right"/>
        <w:rPr>
          <w:rFonts w:ascii="仿宋_GB2312" w:eastAsia="仿宋_GB2312" w:hAnsi="宋体" w:cs="宋体"/>
          <w:kern w:val="0"/>
          <w:sz w:val="32"/>
          <w:szCs w:val="32"/>
        </w:rPr>
      </w:pPr>
      <w:r w:rsidRPr="00396916">
        <w:rPr>
          <w:rFonts w:ascii="仿宋_GB2312" w:eastAsia="仿宋_GB2312" w:cs="宋体" w:hint="eastAsia"/>
          <w:kern w:val="0"/>
          <w:sz w:val="32"/>
          <w:szCs w:val="32"/>
        </w:rPr>
        <w:t>安全监管总局办公厅</w:t>
      </w:r>
    </w:p>
    <w:p w:rsidR="00910487" w:rsidRPr="00A670E7" w:rsidRDefault="00A670E7" w:rsidP="00841645">
      <w:pPr>
        <w:widowControl/>
        <w:spacing w:line="600" w:lineRule="exact"/>
        <w:jc w:val="center"/>
      </w:pPr>
      <w:r>
        <w:rPr>
          <w:rFonts w:ascii="仿宋_GB2312" w:eastAsia="仿宋_GB2312" w:hint="eastAsia"/>
          <w:kern w:val="0"/>
          <w:sz w:val="32"/>
          <w:szCs w:val="32"/>
        </w:rPr>
        <w:t xml:space="preserve">                                        </w:t>
      </w:r>
      <w:r w:rsidRPr="00396916">
        <w:rPr>
          <w:rFonts w:ascii="仿宋_GB2312" w:eastAsia="仿宋_GB2312" w:hint="eastAsia"/>
          <w:kern w:val="0"/>
          <w:sz w:val="32"/>
          <w:szCs w:val="32"/>
        </w:rPr>
        <w:t>2015</w:t>
      </w:r>
      <w:r w:rsidRPr="00396916">
        <w:rPr>
          <w:rFonts w:ascii="仿宋_GB2312" w:eastAsia="仿宋_GB2312" w:cs="宋体" w:hint="eastAsia"/>
          <w:kern w:val="0"/>
          <w:sz w:val="32"/>
          <w:szCs w:val="32"/>
        </w:rPr>
        <w:t>年</w:t>
      </w:r>
      <w:r w:rsidRPr="00396916">
        <w:rPr>
          <w:rFonts w:ascii="仿宋_GB2312" w:eastAsia="仿宋_GB2312" w:hint="eastAsia"/>
          <w:kern w:val="0"/>
          <w:sz w:val="32"/>
          <w:szCs w:val="32"/>
        </w:rPr>
        <w:t>3</w:t>
      </w:r>
      <w:r w:rsidRPr="00396916">
        <w:rPr>
          <w:rFonts w:ascii="仿宋_GB2312" w:eastAsia="仿宋_GB2312" w:cs="宋体" w:hint="eastAsia"/>
          <w:kern w:val="0"/>
          <w:sz w:val="32"/>
          <w:szCs w:val="32"/>
        </w:rPr>
        <w:t>月</w:t>
      </w:r>
      <w:r w:rsidRPr="00396916">
        <w:rPr>
          <w:rFonts w:ascii="仿宋_GB2312" w:eastAsia="仿宋_GB2312" w:hint="eastAsia"/>
          <w:kern w:val="0"/>
          <w:sz w:val="32"/>
          <w:szCs w:val="32"/>
        </w:rPr>
        <w:t>10</w:t>
      </w:r>
      <w:r w:rsidR="00841645">
        <w:rPr>
          <w:rFonts w:ascii="仿宋_GB2312" w:eastAsia="仿宋_GB2312" w:cs="宋体" w:hint="eastAsia"/>
          <w:kern w:val="0"/>
          <w:sz w:val="32"/>
          <w:szCs w:val="32"/>
        </w:rPr>
        <w:t>日</w:t>
      </w:r>
    </w:p>
    <w:sectPr w:rsidR="00910487" w:rsidRPr="00A670E7" w:rsidSect="00841645">
      <w:pgSz w:w="11906" w:h="16838"/>
      <w:pgMar w:top="1134" w:right="1474" w:bottom="1134" w:left="147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DB8" w:rsidRDefault="00A77DB8" w:rsidP="00841645">
      <w:r>
        <w:separator/>
      </w:r>
    </w:p>
  </w:endnote>
  <w:endnote w:type="continuationSeparator" w:id="1">
    <w:p w:rsidR="00A77DB8" w:rsidRDefault="00A77DB8" w:rsidP="008416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DB8" w:rsidRDefault="00A77DB8" w:rsidP="00841645">
      <w:r>
        <w:separator/>
      </w:r>
    </w:p>
  </w:footnote>
  <w:footnote w:type="continuationSeparator" w:id="1">
    <w:p w:rsidR="00A77DB8" w:rsidRDefault="00A77DB8" w:rsidP="008416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70E7"/>
    <w:rsid w:val="00765127"/>
    <w:rsid w:val="00841645"/>
    <w:rsid w:val="00910487"/>
    <w:rsid w:val="009322CB"/>
    <w:rsid w:val="00A670E7"/>
    <w:rsid w:val="00A77D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A670E7"/>
    <w:pPr>
      <w:widowControl/>
      <w:spacing w:before="100" w:beforeAutospacing="1" w:after="100" w:afterAutospacing="1"/>
      <w:jc w:val="left"/>
    </w:pPr>
    <w:rPr>
      <w:rFonts w:ascii="宋体" w:hAnsi="宋体"/>
      <w:kern w:val="0"/>
      <w:sz w:val="24"/>
    </w:rPr>
  </w:style>
  <w:style w:type="paragraph" w:styleId="a4">
    <w:name w:val="header"/>
    <w:basedOn w:val="a"/>
    <w:link w:val="Char"/>
    <w:uiPriority w:val="99"/>
    <w:semiHidden/>
    <w:unhideWhenUsed/>
    <w:rsid w:val="00841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41645"/>
    <w:rPr>
      <w:rFonts w:ascii="Times New Roman" w:eastAsia="宋体" w:hAnsi="Times New Roman" w:cs="Times New Roman"/>
      <w:sz w:val="18"/>
      <w:szCs w:val="18"/>
    </w:rPr>
  </w:style>
  <w:style w:type="paragraph" w:styleId="a5">
    <w:name w:val="footer"/>
    <w:basedOn w:val="a"/>
    <w:link w:val="Char0"/>
    <w:uiPriority w:val="99"/>
    <w:semiHidden/>
    <w:unhideWhenUsed/>
    <w:rsid w:val="0084164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4164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wangchuankun</dc:creator>
  <cp:lastModifiedBy>wangchuankun</cp:lastModifiedBy>
  <cp:revision>3</cp:revision>
  <dcterms:created xsi:type="dcterms:W3CDTF">2015-04-07T07:56:00Z</dcterms:created>
  <dcterms:modified xsi:type="dcterms:W3CDTF">2015-04-07T07:59:00Z</dcterms:modified>
</cp:coreProperties>
</file>